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FBX Import Tips and Tricks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FBX Import Questions and Answers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FBX Import Web Pages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Rooms are great for demonstrating the power of the FBX Import tool. Notice that loading the room takes care of setting up all the meshes and textures for you.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To import this room FBX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In create mode, choose the product to derive from, room (10860)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Remove the existing mesh and apply changes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Load the FBX “3ds - Room Church-v01.fbx”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For the Skeleton Root, choose “skeleton.Room”. This will bring in all the bones in the room.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Leave the </w:t>
      </w:r>
      <w:r w:rsidDel="00000000" w:rsidR="00000000" w:rsidRPr="00000000">
        <w:rPr>
          <w:b w:val="1"/>
          <w:rtl w:val="0"/>
        </w:rPr>
        <w:t xml:space="preserve">“Apply Scale” value at 1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Import the FBX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Apply changes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You can move your avatar to the various seats that were build into the room.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creator.imvu.com/index.php/fbx-tips/" TargetMode="External"/><Relationship Id="rId6" Type="http://schemas.openxmlformats.org/officeDocument/2006/relationships/hyperlink" Target="http://creator.imvu.com/index.php/fbx-faq" TargetMode="External"/><Relationship Id="rId7" Type="http://schemas.openxmlformats.org/officeDocument/2006/relationships/hyperlink" Target="http://creator.imvu.com/index.php/fbx-import/" TargetMode="External"/></Relationships>
</file>