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This sample shows a cube that can morph (grow and shrink). The morph and skeletal animations were created in 3ds Max and exported to fbx. Here is how you import it into IMVU.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1) Derive from furniture (12908)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2) Load &amp; import the “3ds FBX - Furniture Morphing Animated Cube” fbx file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-- Choose the “root” skeleton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3) Add an action to spin the cube as follows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stance.Idle (we’ll make it spin all the time)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Room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For </w:t>
      </w:r>
      <w:r w:rsidDel="00000000" w:rsidR="00000000" w:rsidRPr="00000000">
        <w:rPr>
          <w:b w:val="1"/>
          <w:rtl w:val="0"/>
        </w:rPr>
        <w:t xml:space="preserve">Morph Animation</w:t>
      </w:r>
      <w:r w:rsidDel="00000000" w:rsidR="00000000" w:rsidRPr="00000000">
        <w:rPr>
          <w:rtl w:val="0"/>
        </w:rPr>
        <w:t xml:space="preserve">, select: “Take%20001-stretch.Exclusive-squash.exclusive.xpf”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4) Apply changes and watch the cube morph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