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>
          <w:color w:val="1155cc"/>
          <w:u w:val="single"/>
        </w:rPr>
      </w:pPr>
      <w:r w:rsidDel="00000000" w:rsidR="00000000" w:rsidRPr="00000000">
        <w:fldChar w:fldCharType="begin"/>
        <w:instrText xml:space="preserve"> HYPERLINK "http://creator.imvu.com/index.php/fbx-tips/"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FBX Import Tips and Tricks</w:t>
      </w:r>
    </w:p>
    <w:p w:rsidR="00000000" w:rsidDel="00000000" w:rsidP="00000000" w:rsidRDefault="00000000" w:rsidRPr="00000000">
      <w:pPr>
        <w:contextualSpacing w:val="0"/>
        <w:rPr>
          <w:color w:val="1155cc"/>
          <w:u w:val="single"/>
        </w:rPr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"http://creator.imvu.com/index.php/fbx-faq"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FBX Import Questions and Answers</w:t>
      </w:r>
    </w:p>
    <w:p w:rsidR="00000000" w:rsidDel="00000000" w:rsidP="00000000" w:rsidRDefault="00000000" w:rsidRPr="00000000">
      <w:pPr>
        <w:contextualSpacing w:val="0"/>
        <w:rPr>
          <w:color w:val="1155cc"/>
          <w:u w:val="single"/>
        </w:rPr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"http://creator.imvu.com/index.php/fbx-import/"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FBX Import Web Pages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Start by deriving from Furniture (12908)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Load the file: </w:t>
      </w:r>
      <w:r w:rsidDel="00000000" w:rsidR="00000000" w:rsidRPr="00000000">
        <w:rPr>
          <w:b w:val="1"/>
          <w:rtl w:val="0"/>
        </w:rPr>
        <w:t xml:space="preserve">Maya - Furniture Animated SeeSaw-v01.FBX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Add an action as follows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Trigger</w:t>
      </w:r>
      <w:r w:rsidDel="00000000" w:rsidR="00000000" w:rsidRPr="00000000">
        <w:rPr>
          <w:rtl w:val="0"/>
        </w:rPr>
        <w:t xml:space="preserve">: stance.Idle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Type</w:t>
      </w:r>
      <w:r w:rsidDel="00000000" w:rsidR="00000000" w:rsidRPr="00000000">
        <w:rPr>
          <w:rtl w:val="0"/>
        </w:rPr>
        <w:t xml:space="preserve">: Room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# ensembles played</w:t>
      </w:r>
      <w:r w:rsidDel="00000000" w:rsidR="00000000" w:rsidRPr="00000000">
        <w:rPr>
          <w:rtl w:val="0"/>
        </w:rPr>
        <w:t xml:space="preserve">: 0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After playing:</w:t>
      </w:r>
      <w:r w:rsidDel="00000000" w:rsidR="00000000" w:rsidRPr="00000000">
        <w:rPr>
          <w:rtl w:val="0"/>
        </w:rPr>
        <w:t xml:space="preserve"> Pick same Ensemble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For </w:t>
      </w:r>
      <w:r w:rsidDel="00000000" w:rsidR="00000000" w:rsidRPr="00000000">
        <w:rPr>
          <w:b w:val="1"/>
          <w:rtl w:val="0"/>
        </w:rPr>
        <w:t xml:space="preserve">Skeletal Animation</w:t>
      </w:r>
      <w:r w:rsidDel="00000000" w:rsidR="00000000" w:rsidRPr="00000000">
        <w:rPr>
          <w:rtl w:val="0"/>
        </w:rPr>
        <w:t xml:space="preserve">, select: Take%20001.xaf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You should see the seeSaw swinging up and down, after applying changes.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